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fde2baf16243bd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24963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HRVATSKI PRIRODOSLOVNI MUZEJ 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21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2.847.138,67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2.080.805,49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73,1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1.693.868,60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1.976.994,06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116,7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1.153.270,07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103.811,43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9,0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1.156,00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156.643,15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111.088,22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70,9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155.487,15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111.088,22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71,4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PRIMITAKA OD FINANCIJSKE IMOVINE I ZADUŽIVANJA (šifre 8-5,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X003, 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I PRIMITAKA (šifre Y345-X678)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7.276,79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Interes posjetitelja u prvom polugodištu 2026. i dalje je značajan. Prihod ostvaren u izvještajnom razdoblju manji je od prihoda ostvarenog u izvještajnom razdoblju prethodne godine ali iz razloga što je u 2025. godini bilo još uplata dugova za projekt "Čuvar baštine..." dok to u 2026. više nije slučaj. Ukupan trošak u prvom polugodištu 2026. g. veći je od troška ostvarenog u istom razdoblju 2025. a razlog tome je: porast broja zaposlenih a time i porast troška za plaće, porast cijena usluga prvenstveno usluga marketinga, ali i ostalih usluga, trošak pristupa informacijskom sustavu za upravljanje muzejskom građom (Specify).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Pomoći od međunarodnih organizacija te institucija i tijela EU (šifre 6321 do 6324)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3.532,50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45.117,94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1277,2</w:t>
            </w:r>
          </w:p>
        </w:tc>
      </w:tr>
    </w:tbl>
    <w:p>
      <w:pPr>
        <w:spacing w:before="0" w:after="0"/>
      </w:pPr>
    </w:p>
    <w:p>
      <w:r>
        <w:t xml:space="preserve">Izvještaji se predaju kvartalno i obzirom na njihovo priznavanje doznačuju se sredstva.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6362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Kapitalne pomoći proračunskim korisnicima iz proračuna koji im nije nadležan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6362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778.908,51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</w:tbl>
    <w:p>
      <w:pPr>
        <w:spacing w:before="0" w:after="0"/>
      </w:pPr>
    </w:p>
    <w:p>
      <w:r>
        <w:t xml:space="preserve">Sva eventualna dugovanja za projekt "Čuvar baštine....." isplaćena su u ranijim godinama.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6416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dividendi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6416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5.985,00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5.429,25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90,7</w:t>
            </w:r>
          </w:p>
        </w:tc>
      </w:tr>
    </w:tbl>
    <w:p>
      <w:pPr>
        <w:spacing w:before="0" w:after="0"/>
      </w:pPr>
    </w:p>
    <w:p>
      <w:r>
        <w:t xml:space="preserve">Isplaćena dividenda nešto je manja nego lani.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 posebnim propisima (šifre 6521 do 6528)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8.000,00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722,00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9,0</w:t>
            </w:r>
          </w:p>
        </w:tc>
      </w:tr>
    </w:tbl>
    <w:p>
      <w:pPr>
        <w:spacing w:before="0" w:after="0"/>
      </w:pPr>
    </w:p>
    <w:p>
      <w:r>
        <w:t xml:space="preserve">Isplaćena je šteta zbog oštećenja crijepa.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proizvoda i robe te pruženih usluga (šifre 6614+6615)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380.039,52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305.032,82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80,3</w:t>
            </w:r>
          </w:p>
        </w:tc>
      </w:tr>
    </w:tbl>
    <w:p>
      <w:pPr>
        <w:spacing w:before="0" w:after="0"/>
      </w:pPr>
    </w:p>
    <w:p>
      <w:r>
        <w:t xml:space="preserve">Smanjen je prihod od najma prostora.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iz nadležnog proračuna za financiranje rashoda za nabavu nefinancijske imovine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169.379,46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8.772,39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5,2</w:t>
            </w:r>
          </w:p>
        </w:tc>
      </w:tr>
    </w:tbl>
    <w:p>
      <w:pPr>
        <w:spacing w:before="0" w:after="0"/>
      </w:pPr>
    </w:p>
    <w:p>
      <w:r>
        <w:t xml:space="preserve">Cjelokupno planirani prihod na ovom kontu u ovoj 2026. g. iznosi 150.900,00.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Ostali rashodi za zaposlene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88.152,07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119.974,52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136,1</w:t>
            </w:r>
          </w:p>
        </w:tc>
      </w:tr>
    </w:tbl>
    <w:p>
      <w:pPr>
        <w:spacing w:before="0" w:after="0"/>
      </w:pPr>
    </w:p>
    <w:p>
      <w:r>
        <w:t xml:space="preserve">Povećan br. zaposlenih i povećan iznos za materijalna prava.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Usluge promidžbe i informiranja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13.095,23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Snimanje promotivnog videa za potrebe HPM-a i pojačana marketinška aktivnost.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89.656,52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120.119,65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134,0</w:t>
            </w:r>
          </w:p>
        </w:tc>
      </w:tr>
    </w:tbl>
    <w:p>
      <w:pPr>
        <w:spacing w:before="0" w:after="0"/>
      </w:pPr>
    </w:p>
    <w:p>
      <w:r>
        <w:t xml:space="preserve">Povećao se trošak čuvarske službe.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za rad predstavničkih i izvršnih tijela, povjerenstava i slično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465,30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1.954,54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420,1</w:t>
            </w:r>
          </w:p>
        </w:tc>
      </w:tr>
    </w:tbl>
    <w:p>
      <w:pPr>
        <w:spacing w:before="0" w:after="0"/>
      </w:pPr>
    </w:p>
    <w:p>
      <w:r>
        <w:t xml:space="preserve">Povećana naknada predsjednicima i članovima tijela upravljanja ustanova kojih je osnivač Grad Zagreb.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Reprezentacija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9.711,11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18.826,89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193,9</w:t>
            </w:r>
          </w:p>
        </w:tc>
      </w:tr>
    </w:tbl>
    <w:p>
      <w:pPr>
        <w:spacing w:before="0" w:after="0"/>
      </w:pPr>
    </w:p>
    <w:p>
      <w:r>
        <w:t xml:space="preserve">Trošak Cateringa prilikom otvaranja izložbi, kao i reprezentacija prilikom ugošćavanja mogućih budućih suradnika na projektima.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Članarine i norme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603,93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13.685,54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2266,1</w:t>
            </w:r>
          </w:p>
        </w:tc>
      </w:tr>
    </w:tbl>
    <w:p>
      <w:pPr>
        <w:spacing w:before="0" w:after="0"/>
      </w:pPr>
    </w:p>
    <w:p>
      <w:r>
        <w:t xml:space="preserve">Plaćena je članarina u informacijskom sustavu za upravljanje i dokumentaciju muzejske građe.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Ostali nespomenuti rashodi poslovanja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1.378,26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5.966,51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432,9</w:t>
            </w:r>
          </w:p>
        </w:tc>
      </w:tr>
    </w:tbl>
    <w:p>
      <w:pPr>
        <w:spacing w:before="0" w:after="0"/>
      </w:pPr>
    </w:p>
    <w:p>
      <w:r>
        <w:t xml:space="preserve">Nabava flaširane vode, račun Mailchimp i Meta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Oprema za održavanje i zaštitu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10.263,95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31.190,57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303,9</w:t>
            </w:r>
          </w:p>
        </w:tc>
      </w:tr>
    </w:tbl>
    <w:p>
      <w:pPr>
        <w:spacing w:before="0" w:after="0"/>
      </w:pPr>
    </w:p>
    <w:p>
      <w:r>
        <w:t xml:space="preserve">Izrada, dostava i montaža staklenih zvona s dnom od MDF ploča, nabava usisivača za knjige.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Instrumenti i uređaji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807,78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4.089,68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506,3</w:t>
            </w:r>
          </w:p>
        </w:tc>
      </w:tr>
    </w:tbl>
    <w:p>
      <w:pPr>
        <w:spacing w:before="0" w:after="0"/>
      </w:pPr>
    </w:p>
    <w:p>
      <w:r>
        <w:t xml:space="preserve">Kupovina digitalnog fotoaparata i profesionalnog makro objektiva.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HPM uredno ispunjava svoje obveze vodeći računa o dospijeću.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18.</w:t>
      </w:r>
    </w:p>
    <w:p>
      <w:pPr>
        <w:jc w:val="both"/>
        <w:pStyle w:val="Normal"/>
        <w:spacing w:line="240" w:lineRule="auto"/>
      </w:pPr>
      <w:r>
        <w:rPr>
          <w:b/>
          <w:sz w:val="24"/>
          <w:rFonts w:ascii="Times New Roman" w:hAnsi="Times New Roman"/>
        </w:rPr>
        <w:t xml:space="preserve">EU izvještaj</w:t>
      </w:r>
    </w:p>
    <w:p>
      <w:r>
        <w:t xml:space="preserve">U prvom polugodištu 2025. nije se podnosio EU izvještaj.</w:t>
      </w:r>
    </w:p>
    <w:p>
      <w:r>
        <w:t xml:space="preserve">U ovom izvještajnom razdoblju prikazani trošak odnosi se na Interreg projekte Hrvatska-Slovenija i Hrvatska-Italija.</w:t>
      </w:r>
    </w:p>
    <w:p>
      <w:r>
        <w:t xml:space="preserve">Pristigli prihod odnosi se na priznate troškove po predanim izvještajima.</w:t>
      </w:r>
    </w:p>
    <w:p>
      <w:r>
        <w:t xml:space="preserve"> 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9d59136a224490d" /></Relationships>
</file>