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96EE" w14:textId="5A4E576C" w:rsidR="00160BC2" w:rsidRPr="00C357F5" w:rsidRDefault="00160BC2">
      <w:pPr>
        <w:rPr>
          <w:b/>
          <w:bCs/>
        </w:rPr>
      </w:pPr>
      <w:r w:rsidRPr="00C357F5">
        <w:rPr>
          <w:b/>
          <w:bCs/>
        </w:rPr>
        <w:t>ZAKLJUČCI I ODLUKE UPRAVNOG VIJEĆA HRVATSKOG PRIRODOSLOVNOG MUZEJA</w:t>
      </w:r>
      <w:r w:rsidR="00EF5B7F">
        <w:rPr>
          <w:b/>
          <w:bCs/>
        </w:rPr>
        <w:t>/2023</w:t>
      </w:r>
    </w:p>
    <w:p w14:paraId="763D56BF" w14:textId="418AF3ED" w:rsidR="00D805A3" w:rsidRPr="003B4B8E" w:rsidRDefault="00536874">
      <w:pPr>
        <w:rPr>
          <w:b/>
          <w:bCs/>
        </w:rPr>
      </w:pPr>
      <w:r w:rsidRPr="003B4B8E">
        <w:rPr>
          <w:b/>
          <w:bCs/>
        </w:rPr>
        <w:t>30. sjednica Upravnog vijeća Hrvatskog prirodoslovnog muzeja održana dana 6.12.2023. godine održana putem elektroničke pošte</w:t>
      </w:r>
    </w:p>
    <w:p w14:paraId="74C678DD" w14:textId="5D417F2D" w:rsidR="00536874" w:rsidRDefault="00536874">
      <w:r>
        <w:t>Ad.1.) ODLUKA</w:t>
      </w:r>
    </w:p>
    <w:p w14:paraId="73496E64" w14:textId="77777777" w:rsidR="00536874" w:rsidRPr="00EA2727" w:rsidRDefault="00536874" w:rsidP="00536874">
      <w:pPr>
        <w:tabs>
          <w:tab w:val="left" w:pos="9026"/>
        </w:tabs>
        <w:spacing w:line="276" w:lineRule="auto"/>
        <w:ind w:right="-46"/>
        <w:jc w:val="both"/>
        <w:rPr>
          <w:rFonts w:cs="Calibri"/>
          <w:bCs/>
        </w:rPr>
      </w:pPr>
      <w:r w:rsidRPr="00EA2727">
        <w:rPr>
          <w:bCs/>
        </w:rPr>
        <w:t xml:space="preserve">o sklapanju ANEKSA broj 2. Ugovora o nabavi multimedijalne opreme za provedbu sadržaja i programiranje sadržaja (multimedijalna, elektronička, informatička oprema i 3D printer) za grupu 2. - nabava multimedijalne opreme za stalni postav, </w:t>
      </w:r>
      <w:r w:rsidRPr="00EA2727">
        <w:rPr>
          <w:rFonts w:cs="Calibri"/>
          <w:bCs/>
        </w:rPr>
        <w:t xml:space="preserve">KLASA: 406-05/22-017/252, URBROJ: 251-05-53/004-23-102, od 28.06.2023. godine (dalje: Ugovor) i ranije sklopljenog Aneksa Ugovoru  KLASA: 406-05/22-017/252, URBROJ: 251-05-53/004-23-130, od 30.11.2023. godine (dalje: Aneks Ugovoru). </w:t>
      </w:r>
    </w:p>
    <w:p w14:paraId="61618BB4" w14:textId="77777777" w:rsidR="00536874" w:rsidRPr="00882515" w:rsidRDefault="00536874" w:rsidP="00536874">
      <w:pPr>
        <w:tabs>
          <w:tab w:val="left" w:pos="9026"/>
        </w:tabs>
        <w:spacing w:after="0" w:line="276" w:lineRule="auto"/>
        <w:ind w:left="284" w:right="-46" w:hanging="284"/>
        <w:jc w:val="both"/>
        <w:rPr>
          <w:rFonts w:cs="Calibri"/>
          <w:bCs/>
        </w:rPr>
      </w:pPr>
      <w:r w:rsidRPr="00AF4C63">
        <w:t xml:space="preserve">Hrvatski prirodoslovni muzej putem Gradskog ureda za financije i javnu nabavu kao Središnjeg tijela za javnu nabavu sklopit će ANEKS broj </w:t>
      </w:r>
      <w:r w:rsidRPr="00882515">
        <w:t xml:space="preserve">2. Ugovora o nabavi multimedijalne opreme za provedbu sadržaja i programiranje sadržaja (multimedijalna, elektronička, informatička oprema i 3D printer) – grupa 2. nabava multimedijalne opreme za stalni postav, </w:t>
      </w:r>
      <w:r w:rsidRPr="00882515">
        <w:rPr>
          <w:rFonts w:cs="Calibri"/>
        </w:rPr>
        <w:t>KLASA: 406-05/22-017/252, URBROJ:</w:t>
      </w:r>
      <w:r w:rsidRPr="00AF4C63">
        <w:rPr>
          <w:rFonts w:cs="Calibri"/>
          <w:b/>
        </w:rPr>
        <w:t xml:space="preserve"> </w:t>
      </w:r>
      <w:r w:rsidRPr="00882515">
        <w:rPr>
          <w:rFonts w:cs="Calibri"/>
          <w:bCs/>
        </w:rPr>
        <w:t>251-05-53/004-23-102, od 28.06.2023. godine i ranije sklopljenom Aneksu Ugovoru  KLASA: 406-05/22-017/252, URBROJ: 251-05-53/004-23-130, od 30.11.2023. godine.</w:t>
      </w:r>
    </w:p>
    <w:p w14:paraId="76395513" w14:textId="77777777" w:rsidR="00536874" w:rsidRPr="00AF4C63" w:rsidRDefault="00536874" w:rsidP="00536874">
      <w:pPr>
        <w:pStyle w:val="Odlomakpopisa"/>
        <w:spacing w:after="0" w:line="276" w:lineRule="auto"/>
        <w:ind w:left="284" w:hanging="284"/>
        <w:jc w:val="both"/>
      </w:pPr>
      <w:r w:rsidRPr="00AF4C63">
        <w:rPr>
          <w:rFonts w:cs="Calibri"/>
        </w:rPr>
        <w:t xml:space="preserve">II. </w:t>
      </w:r>
      <w:r>
        <w:rPr>
          <w:rFonts w:cs="Calibri"/>
        </w:rPr>
        <w:t xml:space="preserve">  </w:t>
      </w:r>
      <w:r w:rsidRPr="00AF4C63">
        <w:rPr>
          <w:rFonts w:cs="Calibri"/>
        </w:rPr>
        <w:t xml:space="preserve">Ovim drugim Aneksom ugovoru ugovorni iznos izvršitelja </w:t>
      </w:r>
      <w:r w:rsidRPr="00AF4C63">
        <w:t xml:space="preserve">SMART AUDIOVISUAL d.o.o., </w:t>
      </w:r>
      <w:r w:rsidRPr="00AF4C63">
        <w:rPr>
          <w:rFonts w:cs="Calibri"/>
        </w:rPr>
        <w:t xml:space="preserve"> povećava se za 69.429,00 EUR bez PDV-a</w:t>
      </w:r>
      <w:r>
        <w:rPr>
          <w:rFonts w:cs="Calibri"/>
        </w:rPr>
        <w:t>, a što predstavlja razliku od 6,48% u odnosu na ugovoreni iznos, sukladno članku 320. Zakona o javnoj nabavi (NN 120/16, 114/22).</w:t>
      </w:r>
    </w:p>
    <w:p w14:paraId="1081AE32" w14:textId="77777777" w:rsidR="00536874" w:rsidRDefault="00536874" w:rsidP="00536874">
      <w:pPr>
        <w:pStyle w:val="Odlomakpopisa"/>
        <w:spacing w:line="276" w:lineRule="auto"/>
        <w:ind w:left="284" w:hanging="284"/>
        <w:jc w:val="both"/>
      </w:pPr>
      <w:r w:rsidRPr="00AF4C63">
        <w:t>III. Sredstva za izvršenje Aneksa br. 2. Ugovoru u iznosu</w:t>
      </w:r>
      <w:r w:rsidRPr="00AF4C63">
        <w:rPr>
          <w:rFonts w:cs="Calibri"/>
        </w:rPr>
        <w:t xml:space="preserve"> od 69.429,00 </w:t>
      </w:r>
      <w:r w:rsidRPr="00AF4C63">
        <w:t xml:space="preserve">EUR-a bez PDV-a osigurana su u okviru projekta Muzeja </w:t>
      </w:r>
      <w:r w:rsidRPr="00AF4C63">
        <w:rPr>
          <w:rFonts w:cs="Calibri"/>
        </w:rPr>
        <w:t xml:space="preserve">„Čuvar baštine kao katalizator razvoja, istraživanja i učenja – novi Hrvatski prirodoslovni muzej“ sklopljenog sa SAFU I MRRFEU te </w:t>
      </w:r>
      <w:r w:rsidRPr="00AF4C63">
        <w:t>na izvoru 1.1.2. i 8.1. u okviru Plana proračuna Grada Zagreba za 2023. godinu.</w:t>
      </w:r>
    </w:p>
    <w:p w14:paraId="38A80B39" w14:textId="0653E347" w:rsidR="00536874" w:rsidRDefault="00536874">
      <w:r>
        <w:t>Ad.2.) ODLUKA</w:t>
      </w:r>
    </w:p>
    <w:p w14:paraId="6C610CC9" w14:textId="77777777" w:rsidR="00536874" w:rsidRDefault="00536874" w:rsidP="00536874">
      <w:pPr>
        <w:spacing w:after="0" w:line="276" w:lineRule="auto"/>
        <w:jc w:val="both"/>
        <w:rPr>
          <w:bCs/>
        </w:rPr>
      </w:pPr>
      <w:r>
        <w:rPr>
          <w:bCs/>
        </w:rPr>
        <w:t>Upravno vijeće muzeja jednoglasno je usvojilo Izmjene i dopune Pravilnika o nagrađivanju zaposlenika</w:t>
      </w:r>
    </w:p>
    <w:p w14:paraId="62346FD5" w14:textId="77777777" w:rsidR="00536874" w:rsidRPr="00C817AA" w:rsidRDefault="00536874" w:rsidP="00536874">
      <w:pPr>
        <w:spacing w:after="0" w:line="276" w:lineRule="auto"/>
        <w:jc w:val="both"/>
        <w:rPr>
          <w:bCs/>
        </w:rPr>
      </w:pPr>
      <w:r>
        <w:rPr>
          <w:bCs/>
        </w:rPr>
        <w:t>Hrvatskog prirodoslovnog muzeja.</w:t>
      </w:r>
    </w:p>
    <w:p w14:paraId="10B31F1D" w14:textId="77777777" w:rsidR="00536874" w:rsidRDefault="00536874" w:rsidP="00536874">
      <w:pPr>
        <w:spacing w:after="0"/>
        <w:jc w:val="both"/>
      </w:pPr>
    </w:p>
    <w:p w14:paraId="2E18116B" w14:textId="559DE429" w:rsidR="00536874" w:rsidRPr="003B4B8E" w:rsidRDefault="00C357F5">
      <w:pPr>
        <w:rPr>
          <w:b/>
          <w:bCs/>
        </w:rPr>
      </w:pPr>
      <w:r w:rsidRPr="003B4B8E">
        <w:rPr>
          <w:b/>
          <w:bCs/>
        </w:rPr>
        <w:t>31. sjednica Upravnog vijeća Hrvatskog prirodoslovnog muzeja</w:t>
      </w:r>
      <w:r w:rsidR="00114398" w:rsidRPr="003B4B8E">
        <w:rPr>
          <w:b/>
          <w:bCs/>
        </w:rPr>
        <w:t xml:space="preserve"> od </w:t>
      </w:r>
      <w:r w:rsidR="00EF5B7F" w:rsidRPr="003B4B8E">
        <w:rPr>
          <w:b/>
          <w:bCs/>
        </w:rPr>
        <w:t>14.12.2023.</w:t>
      </w:r>
      <w:r w:rsidRPr="003B4B8E">
        <w:rPr>
          <w:b/>
          <w:bCs/>
        </w:rPr>
        <w:t xml:space="preserve"> </w:t>
      </w:r>
      <w:r w:rsidR="002B2F55" w:rsidRPr="003B4B8E">
        <w:rPr>
          <w:b/>
          <w:bCs/>
        </w:rPr>
        <w:t>s početkom u 10 sati održana putem elektroničke pošte</w:t>
      </w:r>
    </w:p>
    <w:p w14:paraId="24BFC7C6" w14:textId="4ACB062E" w:rsidR="003C02F7" w:rsidRDefault="003C02F7" w:rsidP="003C02F7">
      <w:pPr>
        <w:jc w:val="both"/>
        <w:rPr>
          <w:rFonts w:cs="Calibri"/>
        </w:rPr>
      </w:pPr>
      <w:r>
        <w:rPr>
          <w:rFonts w:cs="Calibri"/>
        </w:rPr>
        <w:t>Ad.1.)  ODLUKA</w:t>
      </w:r>
    </w:p>
    <w:p w14:paraId="6C5FC71A" w14:textId="77777777" w:rsidR="003C02F7" w:rsidRDefault="003C02F7" w:rsidP="003C02F7">
      <w:pPr>
        <w:tabs>
          <w:tab w:val="left" w:pos="9026"/>
        </w:tabs>
        <w:spacing w:line="276" w:lineRule="auto"/>
        <w:ind w:right="-46"/>
        <w:jc w:val="both"/>
        <w:rPr>
          <w:rFonts w:cs="Calibri"/>
          <w:bCs/>
        </w:rPr>
      </w:pPr>
      <w:r>
        <w:rPr>
          <w:bCs/>
        </w:rPr>
        <w:t xml:space="preserve">o sklapanju ANEKSA broj 2. Ugovoru za obavljanje usluga stručnog nadzora </w:t>
      </w:r>
      <w:r>
        <w:rPr>
          <w:rFonts w:cs="Calibri"/>
          <w:bCs/>
        </w:rPr>
        <w:t>s izvršiteljem INTERKONZALTING d.o.o.</w:t>
      </w:r>
      <w:r>
        <w:rPr>
          <w:rFonts w:eastAsia="Times New Roman" w:cs="Calibri"/>
          <w:bCs/>
          <w:lang w:eastAsia="hr-HR"/>
        </w:rPr>
        <w:t xml:space="preserve"> KLASA: 400-01/21-019-116, URBROJ: 251-26-31/004-21-31 </w:t>
      </w:r>
      <w:r>
        <w:rPr>
          <w:rFonts w:cs="Calibri"/>
          <w:bCs/>
        </w:rPr>
        <w:t>od 6.12.2021. godine (dalje: Ugovor) i pripadajućeg Aneksa isto.</w:t>
      </w:r>
    </w:p>
    <w:p w14:paraId="316617EC" w14:textId="77777777" w:rsidR="003C02F7" w:rsidRDefault="003C02F7" w:rsidP="003C02F7">
      <w:pPr>
        <w:tabs>
          <w:tab w:val="left" w:pos="9026"/>
        </w:tabs>
        <w:spacing w:line="276" w:lineRule="auto"/>
        <w:ind w:right="-46"/>
        <w:jc w:val="both"/>
        <w:rPr>
          <w:rFonts w:cs="Calibri"/>
          <w:bCs/>
        </w:rPr>
      </w:pPr>
      <w:r>
        <w:t xml:space="preserve">Hrvatski prirodoslovni muzej putem Gradskog ureda za financije i javnu nabavu kao Središnjeg tijela za javnu nabavu sklopit će ANEKS broj 2. Ugovoru za obavljanje usluga stručnog nadzora </w:t>
      </w:r>
      <w:r>
        <w:rPr>
          <w:rFonts w:cs="Calibri"/>
        </w:rPr>
        <w:t>s izvršiteljem INTERKONZALTING d.o.o.</w:t>
      </w:r>
      <w:r>
        <w:rPr>
          <w:rFonts w:eastAsia="Times New Roman" w:cs="Calibri"/>
          <w:lang w:eastAsia="hr-HR"/>
        </w:rPr>
        <w:t xml:space="preserve"> KLASA: 400-01/21-019-116, URBROJ: 251-26-31/004-21-31 </w:t>
      </w:r>
      <w:r>
        <w:rPr>
          <w:rFonts w:cs="Calibri"/>
        </w:rPr>
        <w:t>od 6.12.2021. godine i pripadajućem Aneksu, a u okviru projekta „Čuvar baštine kao katalizator razvoja, istraživanja i učenja – novi Hrvatski prirodoslovni muzej“ koji bi obuhvatio sljedeće:</w:t>
      </w:r>
    </w:p>
    <w:p w14:paraId="34B08CBB" w14:textId="77777777" w:rsidR="003C02F7" w:rsidRDefault="003C02F7" w:rsidP="003C02F7">
      <w:pPr>
        <w:pStyle w:val="Odlomakpopisa"/>
        <w:numPr>
          <w:ilvl w:val="0"/>
          <w:numId w:val="1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Calibri"/>
        </w:rPr>
        <w:t>Ovim drugim Aneksom ugovora ugovoreni iznos povećava se za</w:t>
      </w:r>
      <w:r>
        <w:rPr>
          <w:rFonts w:eastAsia="Times New Roman" w:cs="Calibri"/>
          <w:lang w:eastAsia="hr-HR"/>
        </w:rPr>
        <w:t xml:space="preserve"> iznos od 9.987,39 EUR-a bez PDV-a, PDV iznosi 2.496,84 EUR-a odnosno sveukupno s PDV-om 12.484,24 EUR-a  </w:t>
      </w:r>
      <w:r>
        <w:rPr>
          <w:rFonts w:cs="Calibri"/>
        </w:rPr>
        <w:t xml:space="preserve"> </w:t>
      </w:r>
    </w:p>
    <w:p w14:paraId="7413AD29" w14:textId="77777777" w:rsidR="003C02F7" w:rsidRDefault="003C02F7" w:rsidP="003C02F7">
      <w:pPr>
        <w:pStyle w:val="Odlomakpopisa"/>
        <w:numPr>
          <w:ilvl w:val="0"/>
          <w:numId w:val="1"/>
        </w:numPr>
        <w:spacing w:line="276" w:lineRule="auto"/>
        <w:ind w:left="426" w:hanging="426"/>
        <w:jc w:val="both"/>
      </w:pPr>
      <w:r>
        <w:rPr>
          <w:rFonts w:cs="Calibri"/>
        </w:rPr>
        <w:lastRenderedPageBreak/>
        <w:t xml:space="preserve">Novi rok </w:t>
      </w:r>
      <w:r>
        <w:rPr>
          <w:rFonts w:eastAsia="Times New Roman" w:cs="Calibri"/>
          <w:lang w:eastAsia="hr-HR"/>
        </w:rPr>
        <w:t xml:space="preserve">izvršenja je 30.07.2024. godine, a </w:t>
      </w:r>
      <w:r>
        <w:rPr>
          <w:rFonts w:cs="Calibri"/>
        </w:rPr>
        <w:t>mjesečni iznos ugovaratelja iznosi 1.426,77 EUR-a bez PDV-a.</w:t>
      </w:r>
    </w:p>
    <w:p w14:paraId="31E6E5D2" w14:textId="77777777" w:rsidR="003C02F7" w:rsidRDefault="003C02F7" w:rsidP="003C02F7">
      <w:pPr>
        <w:pStyle w:val="Odlomakpopisa"/>
        <w:numPr>
          <w:ilvl w:val="0"/>
          <w:numId w:val="1"/>
        </w:numPr>
        <w:spacing w:line="240" w:lineRule="auto"/>
        <w:ind w:left="426" w:hanging="426"/>
        <w:jc w:val="both"/>
      </w:pPr>
      <w:r>
        <w:t xml:space="preserve">Sredstva za izvršenje Aneksa br. 2. Ugovoru osigurana su u proračunu Grada za 2024., godinu, a za projekt </w:t>
      </w:r>
      <w:r>
        <w:rPr>
          <w:rFonts w:cs="Calibri"/>
        </w:rPr>
        <w:t>„Čuvar baštine kao katalizator razvoja, istraživanja i učenja – novi Hrvatski prirodoslovni muzej“.</w:t>
      </w:r>
    </w:p>
    <w:p w14:paraId="020B80BC" w14:textId="77777777" w:rsidR="003C02F7" w:rsidRDefault="003C02F7" w:rsidP="003C02F7">
      <w:pPr>
        <w:spacing w:line="240" w:lineRule="auto"/>
        <w:jc w:val="both"/>
      </w:pPr>
    </w:p>
    <w:p w14:paraId="447E3FF7" w14:textId="77777777" w:rsidR="002B2F55" w:rsidRDefault="002B2F55"/>
    <w:sectPr w:rsidR="002B2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4739"/>
    <w:multiLevelType w:val="hybridMultilevel"/>
    <w:tmpl w:val="27D68370"/>
    <w:lvl w:ilvl="0" w:tplc="2A0A4C64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13311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74"/>
    <w:rsid w:val="00114398"/>
    <w:rsid w:val="00160BC2"/>
    <w:rsid w:val="002B2F55"/>
    <w:rsid w:val="003B4B8E"/>
    <w:rsid w:val="003C02F7"/>
    <w:rsid w:val="00536874"/>
    <w:rsid w:val="00907297"/>
    <w:rsid w:val="00C357F5"/>
    <w:rsid w:val="00D805A3"/>
    <w:rsid w:val="00E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819C"/>
  <w15:chartTrackingRefBased/>
  <w15:docId w15:val="{320D28B2-B833-46CC-834D-B08D699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6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6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68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6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68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6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6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6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6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68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68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68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687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687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68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68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68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68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6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6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6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6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6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68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68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687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68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687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68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8</cp:revision>
  <dcterms:created xsi:type="dcterms:W3CDTF">2024-03-11T11:00:00Z</dcterms:created>
  <dcterms:modified xsi:type="dcterms:W3CDTF">2024-03-11T11:17:00Z</dcterms:modified>
</cp:coreProperties>
</file>